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0" w:type="dxa"/>
        <w:tblInd w:w="49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3721F0" w:rsidRDefault="009F02E6" w:rsidP="003721F0">
            <w:pPr>
              <w:tabs>
                <w:tab w:val="left" w:leader="underscore" w:pos="8860"/>
              </w:tabs>
              <w:spacing w:before="180" w:after="0" w:line="240" w:lineRule="auto"/>
              <w:ind w:left="74" w:right="-74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1.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PROPOSAL MADE BY:</w:t>
            </w:r>
            <w:r w:rsidR="003721F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3721F0" w:rsidRPr="003721F0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EA </w:t>
            </w:r>
            <w:r w:rsidR="00DA283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MAC </w:t>
            </w:r>
            <w:r w:rsidR="003721F0" w:rsidRPr="003721F0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SECRETARIAT</w:t>
            </w:r>
          </w:p>
          <w:p w:rsidR="009F02E6" w:rsidRPr="00886CE0" w:rsidRDefault="009F02E6" w:rsidP="009F02E6">
            <w:pPr>
              <w:tabs>
                <w:tab w:val="left" w:pos="6164"/>
                <w:tab w:val="left" w:leader="underscore" w:pos="8860"/>
              </w:tabs>
              <w:spacing w:before="120" w:after="0" w:line="240" w:lineRule="auto"/>
              <w:ind w:left="71" w:right="-73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on behalf of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:   </w:t>
            </w:r>
            <w:r w:rsidR="00DA283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Multilateral Agreement Council (</w:t>
            </w:r>
            <w:proofErr w:type="gramStart"/>
            <w:r w:rsidR="00DA283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MAC)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  </w:t>
            </w:r>
            <w:proofErr w:type="gramEnd"/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                                           Date: </w:t>
            </w:r>
            <w:r w:rsidR="00B027A3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0</w:t>
            </w:r>
            <w:r w:rsidR="00DA283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8</w:t>
            </w:r>
            <w:r w:rsidR="003721F0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 </w:t>
            </w:r>
            <w:r w:rsidR="00DA283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October</w:t>
            </w:r>
            <w:r w:rsidR="003721F0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 201</w:t>
            </w:r>
            <w:r w:rsidR="00B027A3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8</w:t>
            </w:r>
          </w:p>
          <w:p w:rsidR="009F02E6" w:rsidRPr="009F02E6" w:rsidRDefault="009F02E6" w:rsidP="009F02E6">
            <w:pPr>
              <w:tabs>
                <w:tab w:val="left" w:pos="6344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Individual Member Body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or Associate Member Body of EA  ___________________________________________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Accreditation Body)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Advisory Board: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Member + College)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Individual stakeholder and Observer: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Executive Committee: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Committee/Council: _</w:t>
            </w:r>
            <w:r w:rsidR="00AB5ACA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</w:t>
            </w:r>
            <w:r w:rsidR="00DA283D" w:rsidRPr="00DA283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MAC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__________________________________________________                                                             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Committee)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the General Assembly: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2</w:t>
            </w:r>
          </w:p>
          <w:p w:rsidR="00886CE0" w:rsidRPr="00886CE0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Name of the document to be prepared</w:t>
            </w:r>
            <w:r w:rsidR="003721F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/</w:t>
            </w:r>
            <w:r w:rsidR="003721F0" w:rsidRPr="003721F0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Revised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: </w:t>
            </w:r>
            <w:r w:rsidR="003721F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3721F0" w:rsidRPr="003721F0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EA-</w:t>
            </w:r>
            <w:r w:rsidR="00DA283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2/02</w:t>
            </w:r>
            <w:r w:rsidR="00B027A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</w:t>
            </w:r>
            <w:r w:rsidR="00DA283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Procedure for the evaluation of a National Accreditation Body</w:t>
            </w:r>
          </w:p>
          <w:p w:rsidR="009F02E6" w:rsidRDefault="009F02E6" w:rsidP="00AB5ACA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Area of application: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DA283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Peer evaluations</w:t>
            </w:r>
          </w:p>
          <w:p w:rsidR="00DA283D" w:rsidRPr="009F02E6" w:rsidRDefault="00DA283D" w:rsidP="00AB5ACA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3</w:t>
            </w:r>
          </w:p>
          <w:p w:rsidR="001744B7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 for the proposal; identification of the need and target group: </w:t>
            </w:r>
            <w:r w:rsidR="003721F0" w:rsidRPr="003721F0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The procedure shall be revised</w:t>
            </w:r>
            <w:r w:rsidR="001744B7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inter alia </w:t>
            </w:r>
            <w:proofErr w:type="gramStart"/>
            <w:r w:rsidR="00B027A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in order to</w:t>
            </w:r>
            <w:proofErr w:type="gramEnd"/>
            <w:r w:rsidR="001744B7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:</w:t>
            </w:r>
          </w:p>
          <w:p w:rsidR="001744B7" w:rsidRPr="001744B7" w:rsidRDefault="00DA283D" w:rsidP="001744B7">
            <w:pPr>
              <w:pStyle w:val="Listenabsatz"/>
              <w:numPr>
                <w:ilvl w:val="0"/>
                <w:numId w:val="2"/>
              </w:numPr>
              <w:tabs>
                <w:tab w:val="left" w:leader="underscore" w:pos="8860"/>
              </w:tabs>
              <w:spacing w:before="120" w:after="0" w:line="240" w:lineRule="auto"/>
              <w:ind w:right="-73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Implement the proposal made by the EA legal advisor regarding the evaluation of NABs in third countries and the responsibility of NABs for their peer evaluators.</w:t>
            </w:r>
          </w:p>
          <w:p w:rsidR="009F02E6" w:rsidRPr="003721F0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pBdr>
                <w:bottom w:val="single" w:sz="18" w:space="1" w:color="auto"/>
              </w:pBdr>
              <w:tabs>
                <w:tab w:val="left" w:leader="underscore" w:pos="8860"/>
              </w:tabs>
              <w:spacing w:before="120" w:after="0" w:line="240" w:lineRule="auto"/>
              <w:ind w:right="-73"/>
              <w:rPr>
                <w:rFonts w:ascii="Arial" w:eastAsia="Times New Roman" w:hAnsi="Arial" w:cs="Arial"/>
                <w:sz w:val="2"/>
                <w:szCs w:val="2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4</w:t>
            </w:r>
          </w:p>
          <w:p w:rsidR="009F02E6" w:rsidRPr="003721F0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Proposed classification: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886CE0" w:rsidRPr="003721F0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UNCHANGED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W w:w="0" w:type="auto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0"/>
              <w:gridCol w:w="992"/>
              <w:gridCol w:w="992"/>
              <w:gridCol w:w="993"/>
              <w:gridCol w:w="992"/>
              <w:gridCol w:w="992"/>
              <w:gridCol w:w="1276"/>
              <w:gridCol w:w="1054"/>
            </w:tblGrid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Governance and Policy</w:t>
                  </w:r>
                </w:p>
              </w:tc>
              <w:tc>
                <w:tcPr>
                  <w:tcW w:w="992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Peer evaluation</w:t>
                  </w:r>
                </w:p>
              </w:tc>
              <w:tc>
                <w:tcPr>
                  <w:tcW w:w="1985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Members procedural</w:t>
                  </w:r>
                </w:p>
              </w:tc>
              <w:tc>
                <w:tcPr>
                  <w:tcW w:w="1984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Application documents of CABs</w:t>
                  </w:r>
                </w:p>
              </w:tc>
              <w:tc>
                <w:tcPr>
                  <w:tcW w:w="1276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Secretariat and MS</w:t>
                  </w:r>
                </w:p>
              </w:tc>
              <w:tc>
                <w:tcPr>
                  <w:tcW w:w="1054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Information, promotional</w:t>
                  </w:r>
                </w:p>
              </w:tc>
            </w:tr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Mandatory</w:t>
                  </w:r>
                </w:p>
              </w:tc>
              <w:tc>
                <w:tcPr>
                  <w:tcW w:w="993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 xml:space="preserve">Mandatory </w:t>
                  </w:r>
                </w:p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or 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  <w:tc>
                <w:tcPr>
                  <w:tcW w:w="1276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 for use by the Secretariat</w:t>
                  </w:r>
                </w:p>
              </w:tc>
              <w:tc>
                <w:tcPr>
                  <w:tcW w:w="1054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</w:tr>
            <w:tr w:rsidR="009F02E6" w:rsidRPr="009F02E6" w:rsidTr="00F53B26">
              <w:trPr>
                <w:trHeight w:val="484"/>
              </w:trPr>
              <w:tc>
                <w:tcPr>
                  <w:tcW w:w="1050" w:type="dxa"/>
                  <w:shd w:val="clear" w:color="auto" w:fill="auto"/>
                </w:tcPr>
                <w:p w:rsidR="009F02E6" w:rsidRPr="003721F0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b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DA283D" w:rsidRDefault="00DA283D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b/>
                      <w:sz w:val="18"/>
                      <w:lang w:eastAsia="fr-FR"/>
                    </w:rPr>
                  </w:pPr>
                  <w:r w:rsidRPr="00DA283D">
                    <w:rPr>
                      <w:rFonts w:ascii="Arial" w:eastAsia="Calibri" w:hAnsi="Arial" w:cs="Arial"/>
                      <w:b/>
                      <w:sz w:val="18"/>
                      <w:lang w:eastAsia="fr-FR"/>
                    </w:rPr>
                    <w:t>x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886CE0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lang w:eastAsia="fr-FR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054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</w:tr>
          </w:tbl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5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Is the subject matter being addressed either with EA or elsewhere (ILAC or IAF for example):</w:t>
            </w:r>
          </w:p>
          <w:p w:rsidR="009F02E6" w:rsidRPr="003721F0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No, it is not</w:t>
            </w:r>
            <w:r w:rsidRPr="009F02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(please </w:t>
            </w:r>
            <w:proofErr w:type="gramStart"/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make reference</w:t>
            </w:r>
            <w:proofErr w:type="gramEnd"/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to this circumstance in the previous question)</w:t>
            </w:r>
          </w:p>
          <w:p w:rsidR="009F02E6" w:rsidRPr="009F02E6" w:rsidRDefault="00DA283D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DA283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X</w:t>
            </w:r>
            <w:r w:rsidR="009F02E6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9F02E6" w:rsidRPr="00AB5AC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Yes (please provide information)</w:t>
            </w:r>
            <w:r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DA43AA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The issue is relevant for EA and its members and therefore other EA documents may be affected from the proposal made by the legal advisor.</w:t>
            </w:r>
            <w:r w:rsidR="00DA43AA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If needed, further NWIPs will be launched.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6</w:t>
            </w:r>
          </w:p>
          <w:p w:rsidR="00AB5ACA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Resources required to prepare the proposed document: </w:t>
            </w:r>
            <w:r w:rsidR="00DA43AA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(MAC) Secretariat</w:t>
            </w:r>
            <w:r w:rsidR="003721F0" w:rsidRPr="003721F0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.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Alternative solution available: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9F02E6" w:rsidRDefault="009F02E6">
      <w:r w:rsidRPr="009F02E6">
        <w:br w:type="page"/>
      </w:r>
    </w:p>
    <w:tbl>
      <w:tblPr>
        <w:tblpPr w:leftFromText="141" w:rightFromText="141" w:vertAnchor="page" w:horzAnchor="margin" w:tblpY="1788"/>
        <w:tblW w:w="9210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lastRenderedPageBreak/>
              <w:t>7</w:t>
            </w:r>
          </w:p>
          <w:p w:rsidR="009F02E6" w:rsidRPr="00DA43AA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DA43AA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Comment procedure to be applied for the document: </w:t>
            </w:r>
          </w:p>
          <w:p w:rsidR="009F02E6" w:rsidRPr="00DA43AA" w:rsidRDefault="00DA43AA" w:rsidP="00DA43AA">
            <w:pPr>
              <w:tabs>
                <w:tab w:val="left" w:leader="underscore" w:pos="8860"/>
              </w:tabs>
              <w:spacing w:before="120" w:after="0" w:line="240" w:lineRule="auto"/>
              <w:ind w:left="360" w:right="-567" w:firstLine="377"/>
              <w:rPr>
                <w:rFonts w:ascii="Arial" w:eastAsia="Times New Roman" w:hAnsi="Arial" w:cs="Arial"/>
                <w:sz w:val="18"/>
                <w:szCs w:val="24"/>
                <w:highlight w:val="yellow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A.  </w:t>
            </w:r>
            <w:r w:rsidR="009F02E6" w:rsidRPr="00DA43A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be circulated to </w:t>
            </w:r>
            <w:r w:rsidRPr="00DA43AA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MAC</w:t>
            </w:r>
            <w:r w:rsidR="003721F0" w:rsidRPr="00DA43AA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as the owner committee</w:t>
            </w:r>
            <w:r w:rsidR="009F02E6" w:rsidRPr="00DA43A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comments:</w:t>
            </w:r>
            <w:r w:rsidR="009F02E6" w:rsidRPr="00DA43AA"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349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pPr w:leftFromText="141" w:rightFromText="141" w:vertAnchor="text" w:horzAnchor="page" w:tblpX="1829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2"/>
            </w:tblGrid>
            <w:tr w:rsidR="009F02E6" w:rsidRPr="009F02E6" w:rsidTr="00F53B26">
              <w:trPr>
                <w:trHeight w:val="434"/>
              </w:trPr>
              <w:tc>
                <w:tcPr>
                  <w:tcW w:w="892" w:type="dxa"/>
                </w:tcPr>
                <w:p w:rsidR="009F02E6" w:rsidRPr="009F02E6" w:rsidRDefault="00DA43AA" w:rsidP="003721F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30</w:t>
                  </w:r>
                </w:p>
              </w:tc>
            </w:tr>
          </w:tbl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 xml:space="preserve">Number of days                                                                           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justify:</w:t>
            </w:r>
            <w:r w:rsidR="003721F0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 xml:space="preserve"> </w:t>
            </w:r>
            <w:r w:rsidR="00DA43AA" w:rsidRPr="00DA43A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The revision will be limited only to the issue of responsibility for evaluators provided by NABs.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________________________________________________________________________________ </w:t>
            </w: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B.  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EA Members and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a 60-day comment period, if relevant: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tbl>
            <w:tblPr>
              <w:tblpPr w:leftFromText="141" w:rightFromText="141" w:vertAnchor="text" w:horzAnchor="page" w:tblpX="967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6"/>
            </w:tblGrid>
            <w:tr w:rsidR="009F02E6" w:rsidRPr="009F02E6" w:rsidTr="00F53B26">
              <w:trPr>
                <w:trHeight w:val="564"/>
              </w:trPr>
              <w:tc>
                <w:tcPr>
                  <w:tcW w:w="846" w:type="dxa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9F02E6" w:rsidRPr="009F02E6" w:rsidTr="00F53B26">
              <w:trPr>
                <w:trHeight w:val="542"/>
              </w:trPr>
              <w:tc>
                <w:tcPr>
                  <w:tcW w:w="846" w:type="dxa"/>
                </w:tcPr>
                <w:p w:rsidR="009F02E6" w:rsidRPr="009F02E6" w:rsidRDefault="00DA43AA" w:rsidP="009F02E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X</w:t>
                  </w:r>
                </w:p>
              </w:tc>
            </w:tr>
          </w:tbl>
          <w:p w:rsidR="009F02E6" w:rsidRPr="009F02E6" w:rsidRDefault="009F02E6" w:rsidP="009F02E6">
            <w:pPr>
              <w:tabs>
                <w:tab w:val="left" w:pos="3384"/>
              </w:tabs>
              <w:spacing w:before="240" w:after="240" w:line="36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YES</w:t>
            </w:r>
            <w:bookmarkStart w:id="0" w:name="_Toc283892677"/>
          </w:p>
          <w:bookmarkEnd w:id="0"/>
          <w:p w:rsidR="009F02E6" w:rsidRPr="009F02E6" w:rsidRDefault="009F02E6" w:rsidP="009F02E6">
            <w:pPr>
              <w:spacing w:before="240" w:after="0" w:line="24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NO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: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_________________________________________________________________________________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C22F3D" w:rsidRDefault="00365315"/>
    <w:sectPr w:rsidR="00C22F3D" w:rsidSect="00EE61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315" w:rsidRDefault="00365315" w:rsidP="00EE61A2">
      <w:pPr>
        <w:spacing w:after="0" w:line="240" w:lineRule="auto"/>
      </w:pPr>
      <w:r>
        <w:separator/>
      </w:r>
    </w:p>
  </w:endnote>
  <w:endnote w:type="continuationSeparator" w:id="0">
    <w:p w:rsidR="00365315" w:rsidRDefault="00365315" w:rsidP="00EE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E15" w:rsidRDefault="00437E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E15" w:rsidRDefault="00437E1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E15" w:rsidRDefault="00437E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315" w:rsidRDefault="00365315" w:rsidP="00EE61A2">
      <w:pPr>
        <w:spacing w:after="0" w:line="240" w:lineRule="auto"/>
      </w:pPr>
      <w:r>
        <w:separator/>
      </w:r>
    </w:p>
  </w:footnote>
  <w:footnote w:type="continuationSeparator" w:id="0">
    <w:p w:rsidR="00365315" w:rsidRDefault="00365315" w:rsidP="00EE6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E15" w:rsidRDefault="00437E1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E15" w:rsidRDefault="00437E1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7EF" w:rsidRDefault="00437E15" w:rsidP="00EE61A2">
    <w:pPr>
      <w:pStyle w:val="Kopfzeile"/>
      <w:jc w:val="right"/>
      <w:rPr>
        <w:b/>
        <w:lang w:val="en-US"/>
      </w:rPr>
    </w:pPr>
    <w:r w:rsidRPr="00437E15">
      <w:rPr>
        <w:b/>
        <w:lang w:val="en-US"/>
      </w:rPr>
      <w:t>AI_11.2.3 EAGA(18)11-12 NWI-EA 2_02 peer evaluation 08October2018</w:t>
    </w:r>
    <w:bookmarkStart w:id="1" w:name="_GoBack"/>
    <w:bookmarkEnd w:id="1"/>
  </w:p>
  <w:p w:rsidR="00EE61A2" w:rsidRPr="009D57EF" w:rsidRDefault="009D57EF" w:rsidP="00EE61A2">
    <w:pPr>
      <w:pStyle w:val="Kopfzeile"/>
      <w:jc w:val="right"/>
      <w:rPr>
        <w:b/>
        <w:lang w:val="en-US"/>
      </w:rPr>
    </w:pPr>
    <w:r w:rsidRPr="009D57EF">
      <w:rPr>
        <w:b/>
        <w:lang w:val="en-US"/>
      </w:rPr>
      <w:t>FOR APPROVAL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F6931"/>
    <w:multiLevelType w:val="hybridMultilevel"/>
    <w:tmpl w:val="30E8B762"/>
    <w:lvl w:ilvl="0" w:tplc="0406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684883"/>
    <w:multiLevelType w:val="hybridMultilevel"/>
    <w:tmpl w:val="528AE37C"/>
    <w:lvl w:ilvl="0" w:tplc="AC34D9C8">
      <w:numFmt w:val="bullet"/>
      <w:lvlText w:val="-"/>
      <w:lvlJc w:val="left"/>
      <w:pPr>
        <w:ind w:left="43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" w15:restartNumberingAfterBreak="0">
    <w:nsid w:val="2DB531EF"/>
    <w:multiLevelType w:val="hybridMultilevel"/>
    <w:tmpl w:val="501482F4"/>
    <w:lvl w:ilvl="0" w:tplc="98AEDD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96219"/>
    <w:multiLevelType w:val="hybridMultilevel"/>
    <w:tmpl w:val="24B0FFD6"/>
    <w:lvl w:ilvl="0" w:tplc="4594C2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E6"/>
    <w:rsid w:val="00047FC8"/>
    <w:rsid w:val="001744B7"/>
    <w:rsid w:val="001D0375"/>
    <w:rsid w:val="001F22AF"/>
    <w:rsid w:val="002C264F"/>
    <w:rsid w:val="002D0177"/>
    <w:rsid w:val="002E25AA"/>
    <w:rsid w:val="003636E6"/>
    <w:rsid w:val="00365315"/>
    <w:rsid w:val="003721F0"/>
    <w:rsid w:val="00437E15"/>
    <w:rsid w:val="005C0F63"/>
    <w:rsid w:val="00814A18"/>
    <w:rsid w:val="008752A8"/>
    <w:rsid w:val="00886CE0"/>
    <w:rsid w:val="009913C6"/>
    <w:rsid w:val="009A2F6C"/>
    <w:rsid w:val="009C6DEB"/>
    <w:rsid w:val="009D57EF"/>
    <w:rsid w:val="009F02E6"/>
    <w:rsid w:val="00A000F0"/>
    <w:rsid w:val="00A164F9"/>
    <w:rsid w:val="00AB5ACA"/>
    <w:rsid w:val="00B027A3"/>
    <w:rsid w:val="00B07CA1"/>
    <w:rsid w:val="00B96CFE"/>
    <w:rsid w:val="00C16880"/>
    <w:rsid w:val="00CB0CFB"/>
    <w:rsid w:val="00CB7A3C"/>
    <w:rsid w:val="00D56BDD"/>
    <w:rsid w:val="00DA283D"/>
    <w:rsid w:val="00DA43AA"/>
    <w:rsid w:val="00DE2415"/>
    <w:rsid w:val="00E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6B809-E9A7-4108-9F1B-12DC752B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6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61A2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EE6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61A2"/>
    <w:rPr>
      <w:lang w:val="en-GB"/>
    </w:rPr>
  </w:style>
  <w:style w:type="paragraph" w:styleId="Listenabsatz">
    <w:name w:val="List Paragraph"/>
    <w:basedOn w:val="Standard"/>
    <w:uiPriority w:val="34"/>
    <w:qFormat/>
    <w:rsid w:val="00174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martine.blum@european-accreditation.org</dc:creator>
  <cp:lastModifiedBy>Andreas Steinhorst</cp:lastModifiedBy>
  <cp:revision>3</cp:revision>
  <dcterms:created xsi:type="dcterms:W3CDTF">2018-10-08T10:36:00Z</dcterms:created>
  <dcterms:modified xsi:type="dcterms:W3CDTF">2018-10-21T14:18:00Z</dcterms:modified>
</cp:coreProperties>
</file>